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10512"/>
      </w:tblGrid>
      <w:tr>
        <w:tc>
          <w:tcPr>
            <w:tcW w:type="dxa" w:w="10512"/>
            <w:shd w:val="clear" w:color="auto" w:fill="1F4E79"/>
            <w:tcBorders>
              <w:top w:val="single" w:sz="6" w:color="000000"/>
              <w:bottom w:val="single" w:sz="6" w:color="000000"/>
              <w:left w:val="single" w:sz="6" w:color="000000"/>
              <w:right w:val="single" w:sz="6" w:color="000000"/>
            </w:tcBorders>
          </w:tcPr>
          <w:p>
            <w:pPr>
              <w:spacing w:before="80" w:after="40"/>
              <w:jc w:val="center"/>
            </w:pPr>
            <w:r/>
            <w:r>
              <w:rPr>
                <w:rFonts w:ascii="Times New Roman" w:hAnsi="Times New Roman"/>
                <w:b/>
                <w:color w:val="FFFFFF"/>
                <w:sz w:val="36"/>
              </w:rPr>
              <w:t>TUBERCULOSIS (TB) — ONE-PAGE FACT SHEET</w:t>
            </w:r>
          </w:p>
          <w:p>
            <w:pPr>
              <w:spacing w:after="80"/>
              <w:jc w:val="center"/>
            </w:pPr>
            <w:r>
              <w:rPr>
                <w:rFonts w:ascii="Times New Roman" w:hAnsi="Times New Roman"/>
                <w:i/>
                <w:color w:val="FFFFFF"/>
                <w:sz w:val="22"/>
              </w:rPr>
              <w:t>Treatments are available — and need to be completed</w:t>
            </w:r>
          </w:p>
        </w:tc>
      </w:tr>
    </w:tbl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10512"/>
      </w:tblGrid>
      <w:tr>
        <w:tc>
          <w:tcPr>
            <w:tcW w:type="dxa" w:w="10512"/>
            <w:shd w:val="clear" w:color="auto" w:fill="E8F1F8"/>
            <w:tcBorders>
              <w:top w:val="single" w:sz="6" w:color="000000"/>
              <w:bottom w:val="single" w:sz="6" w:color="000000"/>
              <w:left w:val="single" w:sz="6" w:color="000000"/>
              <w:right w:val="single" w:sz="6" w:color="000000"/>
            </w:tcBorders>
          </w:tcPr>
          <w:p>
            <w:pPr>
              <w:spacing w:before="60" w:after="60"/>
            </w:pPr>
            <w:r/>
            <w:r>
              <w:rPr>
                <w:rFonts w:ascii="Times New Roman" w:hAnsi="Times New Roman"/>
                <w:b/>
                <w:sz w:val="22"/>
              </w:rPr>
              <w:t xml:space="preserve">DO YOU KNOW?  </w:t>
            </w:r>
            <w:r>
              <w:rPr>
                <w:rFonts w:ascii="Times New Roman" w:hAnsi="Times New Roman"/>
                <w:sz w:val="20"/>
              </w:rPr>
              <w:t>If not given proper treatment, 1 in 10 people with latent TB infection will develop active TB disease. In Virginia (2020–2024), only 83.7% of adults with active TB completed treatment — well below the U.S. target of 95%.</w:t>
            </w:r>
          </w:p>
        </w:tc>
      </w:tr>
    </w:tbl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5256"/>
        <w:gridCol w:w="5256"/>
      </w:tblGrid>
      <w:tr>
        <w:tc>
          <w:tcPr>
            <w:tcW w:type="dxa" w:w="5256"/>
            <w:tcBorders>
              <w:top w:val="single" w:sz="6" w:color="000000"/>
              <w:bottom w:val="single" w:sz="6" w:color="000000"/>
              <w:left w:val="single" w:sz="6" w:color="000000"/>
              <w:right w:val="single" w:sz="6" w:color="000000"/>
            </w:tcBorders>
            <w:shd w:val="clear" w:color="auto" w:fill="F5F5F5"/>
          </w:tcPr>
          <w:p>
            <w:pPr>
              <w:spacing w:before="40" w:after="40"/>
            </w:pPr>
            <w:r/>
            <w:r>
              <w:rPr>
                <w:rFonts w:ascii="Times New Roman" w:hAnsi="Times New Roman"/>
                <w:b/>
                <w:color w:val="FFFFFF"/>
                <w:sz w:val="22"/>
              </w:rPr>
              <w:t xml:space="preserve">  DISEASE SYMPTOMS  </w:t>
            </w:r>
          </w:p>
          <w:p>
            <w:pPr>
              <w:spacing w:after="0"/>
              <w:ind w:left="216"/>
            </w:pPr>
            <w:r>
              <w:rPr>
                <w:rFonts w:ascii="Times New Roman" w:hAnsi="Times New Roman"/>
                <w:sz w:val="20"/>
              </w:rPr>
              <w:t>• Chronic cough (≥ 3 weeks)</w:t>
            </w:r>
          </w:p>
          <w:p>
            <w:pPr>
              <w:spacing w:after="0"/>
              <w:ind w:left="216"/>
            </w:pPr>
            <w:r>
              <w:rPr>
                <w:rFonts w:ascii="Times New Roman" w:hAnsi="Times New Roman"/>
                <w:sz w:val="20"/>
              </w:rPr>
              <w:t>• Coughing up blood</w:t>
            </w:r>
          </w:p>
          <w:p>
            <w:pPr>
              <w:spacing w:after="0"/>
              <w:ind w:left="216"/>
            </w:pPr>
            <w:r>
              <w:rPr>
                <w:rFonts w:ascii="Times New Roman" w:hAnsi="Times New Roman"/>
                <w:sz w:val="20"/>
              </w:rPr>
              <w:t>• Fever, especially in the evening</w:t>
            </w:r>
          </w:p>
          <w:p>
            <w:pPr>
              <w:spacing w:after="0"/>
              <w:ind w:left="216"/>
            </w:pPr>
            <w:r>
              <w:rPr>
                <w:rFonts w:ascii="Times New Roman" w:hAnsi="Times New Roman"/>
                <w:sz w:val="20"/>
              </w:rPr>
              <w:t>• Night sweats</w:t>
            </w:r>
          </w:p>
          <w:p>
            <w:pPr>
              <w:spacing w:after="0"/>
              <w:ind w:left="216"/>
            </w:pPr>
            <w:r>
              <w:rPr>
                <w:rFonts w:ascii="Times New Roman" w:hAnsi="Times New Roman"/>
                <w:sz w:val="20"/>
              </w:rPr>
              <w:t>• Unexplained weight loss</w:t>
            </w:r>
          </w:p>
          <w:p>
            <w:pPr>
              <w:spacing w:after="0"/>
              <w:ind w:left="216"/>
            </w:pPr>
            <w:r>
              <w:rPr>
                <w:rFonts w:ascii="Times New Roman" w:hAnsi="Times New Roman"/>
                <w:sz w:val="20"/>
              </w:rPr>
              <w:t>• Fatigue and lack of energy</w:t>
            </w:r>
          </w:p>
          <w:p>
            <w:pPr>
              <w:spacing w:after="0"/>
              <w:ind w:left="216"/>
            </w:pPr>
            <w:r>
              <w:rPr>
                <w:rFonts w:ascii="Times New Roman" w:hAnsi="Times New Roman"/>
                <w:sz w:val="20"/>
              </w:rPr>
              <w:t>• Chest pain when breathing or coughing</w:t>
            </w:r>
          </w:p>
          <w:p>
            <w:pPr>
              <w:spacing w:before="40"/>
            </w:pPr>
            <w:r>
              <w:rPr>
                <w:rFonts w:ascii="Times New Roman" w:hAnsi="Times New Roman"/>
                <w:i/>
                <w:sz w:val="18"/>
              </w:rPr>
              <w:t>If you experience these symptoms, visit the nearest healthcare provider for TB testing.</w:t>
            </w:r>
          </w:p>
        </w:tc>
        <w:tc>
          <w:tcPr>
            <w:tcW w:type="dxa" w:w="5256"/>
            <w:tcBorders>
              <w:top w:val="single" w:sz="6" w:color="000000"/>
              <w:bottom w:val="single" w:sz="6" w:color="000000"/>
              <w:left w:val="single" w:sz="6" w:color="000000"/>
              <w:right w:val="single" w:sz="6" w:color="000000"/>
            </w:tcBorders>
            <w:shd w:val="clear" w:color="auto" w:fill="F5F5F5"/>
          </w:tcPr>
          <w:p>
            <w:pPr>
              <w:spacing w:before="40" w:after="40"/>
            </w:pPr>
            <w:r/>
            <w:r>
              <w:rPr>
                <w:rFonts w:ascii="Times New Roman" w:hAnsi="Times New Roman"/>
                <w:b/>
                <w:color w:val="FFFFFF"/>
                <w:sz w:val="22"/>
              </w:rPr>
              <w:t xml:space="preserve">  DISEASE TYPES  </w:t>
            </w:r>
          </w:p>
          <w:p>
            <w:pPr>
              <w:spacing w:after="20"/>
            </w:pPr>
            <w:r>
              <w:rPr>
                <w:rFonts w:ascii="Times New Roman" w:hAnsi="Times New Roman"/>
                <w:b/>
                <w:sz w:val="20"/>
              </w:rPr>
              <w:t xml:space="preserve">Latent TB Infection:  </w:t>
            </w:r>
            <w:r>
              <w:rPr>
                <w:rFonts w:ascii="Times New Roman" w:hAnsi="Times New Roman"/>
                <w:sz w:val="20"/>
              </w:rPr>
              <w:t>TB bacteria are present but inactive — you are not sick and cannot spread TB. You may still develop active disease later if untreated.</w:t>
            </w:r>
          </w:p>
          <w:p>
            <w:pPr>
              <w:spacing w:after="20"/>
            </w:pPr>
            <w:r>
              <w:rPr>
                <w:rFonts w:ascii="Times New Roman" w:hAnsi="Times New Roman"/>
                <w:b/>
                <w:sz w:val="20"/>
              </w:rPr>
              <w:t xml:space="preserve">Active TB Disease:  </w:t>
            </w:r>
            <w:r>
              <w:rPr>
                <w:rFonts w:ascii="Times New Roman" w:hAnsi="Times New Roman"/>
                <w:sz w:val="20"/>
              </w:rPr>
              <w:t>TB bacteria are multiplying and causing symptoms. You are sick and can spread TB to others through the air. Treatment lasts 6–24 months and MUST be completed.</w:t>
            </w:r>
          </w:p>
          <w:p>
            <w:pPr>
              <w:spacing w:before="40"/>
            </w:pPr>
            <w:r>
              <w:rPr>
                <w:rFonts w:ascii="Times New Roman" w:hAnsi="Times New Roman"/>
                <w:i/>
                <w:sz w:val="18"/>
              </w:rPr>
              <w:t>Both types are curable when treatment is completed.</w:t>
            </w:r>
          </w:p>
        </w:tc>
      </w:tr>
      <w:tr>
        <w:tc>
          <w:tcPr>
            <w:tcW w:type="dxa" w:w="5256"/>
            <w:tcBorders>
              <w:top w:val="single" w:sz="6" w:color="000000"/>
              <w:bottom w:val="single" w:sz="6" w:color="000000"/>
              <w:left w:val="single" w:sz="6" w:color="000000"/>
              <w:right w:val="single" w:sz="6" w:color="000000"/>
            </w:tcBorders>
            <w:shd w:val="clear" w:color="auto" w:fill="F5F5F5"/>
          </w:tcPr>
          <w:p>
            <w:pPr>
              <w:spacing w:before="40" w:after="40"/>
            </w:pPr>
            <w:r/>
            <w:r>
              <w:rPr>
                <w:rFonts w:ascii="Times New Roman" w:hAnsi="Times New Roman"/>
                <w:b/>
                <w:color w:val="FFFFFF"/>
                <w:sz w:val="22"/>
              </w:rPr>
              <w:t xml:space="preserve">  INDIVIDUALS AT RISK  </w:t>
            </w:r>
          </w:p>
          <w:p>
            <w:pPr>
              <w:spacing w:after="0"/>
              <w:ind w:left="216"/>
            </w:pPr>
            <w:r>
              <w:rPr>
                <w:rFonts w:ascii="Times New Roman" w:hAnsi="Times New Roman"/>
                <w:sz w:val="20"/>
              </w:rPr>
              <w:t>• People experiencing homelessness or unstable housing</w:t>
            </w:r>
          </w:p>
          <w:p>
            <w:pPr>
              <w:spacing w:after="0"/>
              <w:ind w:left="216"/>
            </w:pPr>
            <w:r>
              <w:rPr>
                <w:rFonts w:ascii="Times New Roman" w:hAnsi="Times New Roman"/>
                <w:sz w:val="20"/>
              </w:rPr>
              <w:t>• People with HIV or weakened immune systems</w:t>
            </w:r>
          </w:p>
          <w:p>
            <w:pPr>
              <w:spacing w:after="0"/>
              <w:ind w:left="216"/>
            </w:pPr>
            <w:r>
              <w:rPr>
                <w:rFonts w:ascii="Times New Roman" w:hAnsi="Times New Roman"/>
                <w:sz w:val="20"/>
              </w:rPr>
              <w:t>• Chronic smokers and people with heavy alcohol use</w:t>
            </w:r>
          </w:p>
          <w:p>
            <w:pPr>
              <w:spacing w:after="0"/>
              <w:ind w:left="216"/>
            </w:pPr>
            <w:r>
              <w:rPr>
                <w:rFonts w:ascii="Times New Roman" w:hAnsi="Times New Roman"/>
                <w:sz w:val="20"/>
              </w:rPr>
              <w:t>• People born in countries where TB is common</w:t>
            </w:r>
          </w:p>
          <w:p>
            <w:pPr>
              <w:spacing w:after="0"/>
              <w:ind w:left="216"/>
            </w:pPr>
            <w:r>
              <w:rPr>
                <w:rFonts w:ascii="Times New Roman" w:hAnsi="Times New Roman"/>
                <w:sz w:val="20"/>
              </w:rPr>
              <w:t>• Infants, children, and elderly adults</w:t>
            </w:r>
          </w:p>
          <w:p>
            <w:pPr>
              <w:spacing w:after="0"/>
              <w:ind w:left="216"/>
            </w:pPr>
            <w:r>
              <w:rPr>
                <w:rFonts w:ascii="Times New Roman" w:hAnsi="Times New Roman"/>
                <w:sz w:val="20"/>
              </w:rPr>
              <w:t>• Close contacts of a person with active TB</w:t>
            </w:r>
          </w:p>
          <w:p>
            <w:pPr>
              <w:spacing w:after="0"/>
              <w:ind w:left="216"/>
            </w:pPr>
            <w:r>
              <w:rPr>
                <w:rFonts w:ascii="Times New Roman" w:hAnsi="Times New Roman"/>
                <w:sz w:val="20"/>
              </w:rPr>
              <w:t>• Healthcare workers in high-risk settings</w:t>
            </w:r>
          </w:p>
          <w:p>
            <w:pPr>
              <w:spacing w:before="40"/>
            </w:pPr>
            <w:r>
              <w:rPr>
                <w:rFonts w:ascii="Times New Roman" w:hAnsi="Times New Roman"/>
                <w:i/>
                <w:sz w:val="18"/>
              </w:rPr>
              <w:t>Talk to your doctor about testing if you belong to a higher-risk group.</w:t>
            </w:r>
          </w:p>
        </w:tc>
        <w:tc>
          <w:tcPr>
            <w:tcW w:type="dxa" w:w="5256"/>
            <w:tcBorders>
              <w:top w:val="single" w:sz="6" w:color="000000"/>
              <w:bottom w:val="single" w:sz="6" w:color="000000"/>
              <w:left w:val="single" w:sz="6" w:color="000000"/>
              <w:right w:val="single" w:sz="6" w:color="000000"/>
            </w:tcBorders>
            <w:shd w:val="clear" w:color="auto" w:fill="F5F5F5"/>
          </w:tcPr>
          <w:p>
            <w:pPr>
              <w:spacing w:before="40" w:after="40"/>
            </w:pPr>
            <w:r/>
            <w:r>
              <w:rPr>
                <w:rFonts w:ascii="Times New Roman" w:hAnsi="Times New Roman"/>
                <w:b/>
                <w:color w:val="FFFFFF"/>
                <w:sz w:val="22"/>
              </w:rPr>
              <w:t xml:space="preserve">  APPROACHES TO ERADICATE TB  </w:t>
            </w:r>
          </w:p>
          <w:p>
            <w:pPr>
              <w:spacing w:after="0"/>
              <w:ind w:left="216"/>
            </w:pPr>
            <w:r>
              <w:rPr>
                <w:rFonts w:ascii="Times New Roman" w:hAnsi="Times New Roman"/>
                <w:sz w:val="20"/>
              </w:rPr>
              <w:t>• Vigilant public health surveillance</w:t>
            </w:r>
          </w:p>
          <w:p>
            <w:pPr>
              <w:spacing w:after="0"/>
              <w:ind w:left="216"/>
            </w:pPr>
            <w:r>
              <w:rPr>
                <w:rFonts w:ascii="Times New Roman" w:hAnsi="Times New Roman"/>
                <w:sz w:val="20"/>
              </w:rPr>
              <w:t>• Better diagnostics and shorter-course treatments</w:t>
            </w:r>
          </w:p>
          <w:p>
            <w:pPr>
              <w:spacing w:after="0"/>
              <w:ind w:left="216"/>
            </w:pPr>
            <w:r>
              <w:rPr>
                <w:rFonts w:ascii="Times New Roman" w:hAnsi="Times New Roman"/>
                <w:sz w:val="20"/>
              </w:rPr>
              <w:t>• Testing and treatment of high-risk populations</w:t>
            </w:r>
          </w:p>
          <w:p>
            <w:pPr>
              <w:spacing w:after="0"/>
              <w:ind w:left="216"/>
            </w:pPr>
            <w:r>
              <w:rPr>
                <w:rFonts w:ascii="Times New Roman" w:hAnsi="Times New Roman"/>
                <w:sz w:val="20"/>
              </w:rPr>
              <w:t>• Structural support: housing, nutrition, transportation</w:t>
            </w:r>
          </w:p>
          <w:p>
            <w:pPr>
              <w:spacing w:after="0"/>
              <w:ind w:left="216"/>
            </w:pPr>
            <w:r>
              <w:rPr>
                <w:rFonts w:ascii="Times New Roman" w:hAnsi="Times New Roman"/>
                <w:sz w:val="20"/>
              </w:rPr>
              <w:t>• Directly observed therapy (DOT) and patient navigation</w:t>
            </w:r>
          </w:p>
          <w:p>
            <w:pPr>
              <w:spacing w:after="0"/>
              <w:ind w:left="216"/>
            </w:pPr>
            <w:r>
              <w:rPr>
                <w:rFonts w:ascii="Times New Roman" w:hAnsi="Times New Roman"/>
                <w:sz w:val="20"/>
              </w:rPr>
              <w:t>• Education of healthcare providers — Think TB!</w:t>
            </w:r>
          </w:p>
          <w:p>
            <w:pPr>
              <w:spacing w:after="0"/>
              <w:ind w:left="216"/>
            </w:pPr>
            <w:r>
              <w:rPr>
                <w:rFonts w:ascii="Times New Roman" w:hAnsi="Times New Roman"/>
                <w:sz w:val="20"/>
              </w:rPr>
              <w:t>• Community-based programs like FERI-TB in Northern Virginia</w:t>
            </w:r>
          </w:p>
        </w:tc>
      </w:tr>
    </w:tbl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5256"/>
        <w:gridCol w:w="5256"/>
      </w:tblGrid>
      <w:tr>
        <w:tc>
          <w:tcPr>
            <w:tcW w:type="dxa" w:w="5256"/>
            <w:shd w:val="clear" w:color="auto" w:fill="1F4E79"/>
            <w:tcBorders>
              <w:top w:val="single" w:sz="6" w:color="000000"/>
              <w:bottom w:val="single" w:sz="6" w:color="000000"/>
              <w:left w:val="single" w:sz="6" w:color="000000"/>
              <w:right w:val="single" w:sz="6" w:color="000000"/>
            </w:tcBorders>
          </w:tcPr>
          <w:p>
            <w:pPr>
              <w:spacing w:before="80" w:after="80"/>
              <w:jc w:val="center"/>
            </w:pPr>
            <w:r/>
            <w:r>
              <w:rPr>
                <w:rFonts w:ascii="Times New Roman" w:hAnsi="Times New Roman"/>
                <w:b/>
                <w:color w:val="FFFFFF"/>
                <w:sz w:val="26"/>
              </w:rPr>
              <w:t>24 MARCH IS WORLD TB DAY!</w:t>
            </w:r>
          </w:p>
        </w:tc>
        <w:tc>
          <w:tcPr>
            <w:tcW w:type="dxa" w:w="5256"/>
            <w:shd w:val="clear" w:color="auto" w:fill="2E7D5B"/>
            <w:tcBorders>
              <w:top w:val="single" w:sz="6" w:color="000000"/>
              <w:bottom w:val="single" w:sz="6" w:color="000000"/>
              <w:left w:val="single" w:sz="6" w:color="000000"/>
              <w:right w:val="single" w:sz="6" w:color="000000"/>
            </w:tcBorders>
          </w:tcPr>
          <w:p>
            <w:pPr>
              <w:spacing w:before="60" w:after="20"/>
              <w:jc w:val="center"/>
            </w:pPr>
            <w:r/>
            <w:r>
              <w:rPr>
                <w:rFonts w:ascii="Times New Roman" w:hAnsi="Times New Roman"/>
                <w:b/>
                <w:color w:val="FFFFFF"/>
                <w:sz w:val="20"/>
              </w:rPr>
              <w:t>Foundation for Equity, Recovery, and Initiative in TB (FERI-TB)</w:t>
            </w:r>
          </w:p>
          <w:p>
            <w:pPr>
              <w:spacing w:after="40"/>
              <w:jc w:val="center"/>
            </w:pPr>
            <w:r>
              <w:rPr>
                <w:rFonts w:ascii="Times New Roman" w:hAnsi="Times New Roman"/>
                <w:color w:val="FFFFFF"/>
                <w:sz w:val="18"/>
              </w:rPr>
              <w:t>Norfolk, VA  |  feritb.com  |  sdworgee@feritb.com</w:t>
            </w:r>
          </w:p>
        </w:tc>
      </w:tr>
    </w:tbl>
    <w:sectPr w:rsidR="00FC693F" w:rsidRPr="0006063C" w:rsidSect="00034616">
      <w:pgSz w:w="12240" w:h="15840"/>
      <w:pgMar w:top="720" w:right="864" w:bottom="720" w:left="86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line="240" w:lineRule="auto" w:after="60"/>
    </w:pPr>
    <w:rPr>
      <w:rFonts w:ascii="Times New Roman" w:hAnsi="Times New Roman"/>
      <w:sz w:val="20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